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rPr/>
      </w:pPr>
      <w:r w:rsidDel="00000000" w:rsidR="00000000" w:rsidRPr="00000000">
        <w:rPr>
          <w:rFonts w:ascii="Malgun Gothic" w:cs="Malgun Gothic" w:eastAsia="Malgun Gothic" w:hAnsi="Malgun Gothic"/>
          <w:color w:val="777777"/>
          <w:sz w:val="18"/>
          <w:szCs w:val="18"/>
          <w:rtl w:val="0"/>
        </w:rPr>
        <w:t xml:space="preserve">출판환경 변화 대응 R&amp;D 2단계(2026)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34"/>
          <w:szCs w:val="34"/>
          <w:rtl w:val="0"/>
        </w:rPr>
        <w:t xml:space="preserve">나누구 저작권침해 아카이빙 실무방안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6b3fa0" w:space="0" w:sz="12" w:val="single"/>
        </w:pBdr>
        <w:spacing w:after="20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4"/>
          <w:szCs w:val="24"/>
          <w:rtl w:val="0"/>
        </w:rPr>
        <w:t xml:space="preserve">ver. 1.3  ·  판례 통합 개정본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0"/>
          <w:szCs w:val="20"/>
          <w:rtl w:val="0"/>
        </w:rPr>
        <w:t xml:space="preserve">대상 과제  </w:t>
      </w: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RS-2024-00442061 「출판환경 변화 대응을 위한 생성형 AI 기반 출판 콘텐츠 분석 및 공유 플랫폼 기술 개발」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0"/>
          <w:szCs w:val="20"/>
          <w:rtl w:val="0"/>
        </w:rPr>
        <w:t xml:space="preserve">해당 단계  </w:t>
      </w: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2단계 (2026.01.01 ~ 2026.12.31)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0"/>
          <w:szCs w:val="20"/>
          <w:rtl w:val="0"/>
        </w:rPr>
        <w:t xml:space="preserve">원 작성  </w:t>
      </w: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엄진섭 · 2026.05.12 (v1.2, 2026.05.21 월례회의 검토)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0"/>
          <w:szCs w:val="20"/>
          <w:rtl w:val="0"/>
        </w:rPr>
        <w:t xml:space="preserve">개정 반영  </w:t>
      </w: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2026.07 · 저작권/저작인격권/어문저작물 침해 판례 3목록 통합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0"/>
          <w:szCs w:val="20"/>
          <w:rtl w:val="0"/>
        </w:rPr>
        <w:t xml:space="preserve">개정 원칙  </w:t>
      </w:r>
      <w:r w:rsidDel="00000000" w:rsidR="00000000" w:rsidRPr="00000000">
        <w:rPr>
          <w:rFonts w:ascii="Malgun Gothic" w:cs="Malgun Gothic" w:eastAsia="Malgun Gothic" w:hAnsi="Malgun Gothic"/>
          <w:i w:val="1"/>
          <w:iCs w:val="1"/>
          <w:color w:val="1a1a1a"/>
          <w:sz w:val="20"/>
          <w:szCs w:val="20"/>
          <w:rtl w:val="0"/>
        </w:rPr>
        <w:t xml:space="preserve">안전 종료 원칙 1(범위 확장 금지) 준수 — 판례는 신규 검출 대상이 아니라 분류·매핑의 실증 근거로만 편입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after="120" w:before="2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6"/>
          <w:szCs w:val="26"/>
          <w:rtl w:val="0"/>
        </w:rPr>
        <w:t xml:space="preserve">0. 개정 개요 및 변경 이력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본 개정은 자서전 어문저작물 관련 판례 3목록을 통합하여, v1.2의 분류체계·매핑표를 「저작권법 조문 + 위원회 상담사례집」 기반에서 「판례 실증 기반」으로 격상한다. 이는 안전 종료 원칙 4(정량화된 증빙)와 정합한다. 통합 전, 세무·의료·영업비밀 등 조문 매칭으로 딸려 온 무관 판례와 판시사항이 빈 연결 행은 선별·제외하였다.</w:t>
      </w: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00"/>
        <w:gridCol w:w="7426"/>
        <w:tblGridChange w:id="0">
          <w:tblGrid>
            <w:gridCol w:w="1600"/>
            <w:gridCol w:w="742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6b3fa0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버전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6b3fa0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주요 변경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9"/>
                <w:szCs w:val="19"/>
                <w:rtl w:val="0"/>
              </w:rPr>
              <w:t xml:space="preserve">v1.2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9"/>
                <w:szCs w:val="19"/>
                <w:rtl w:val="0"/>
              </w:rPr>
              <w:t xml:space="preserve">그룹별 매핑 재정렬 반영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1a1a1a"/>
                <w:sz w:val="19"/>
                <w:szCs w:val="19"/>
                <w:rtl w:val="0"/>
              </w:rPr>
              <w:t xml:space="preserve">v1.3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9"/>
                <w:szCs w:val="19"/>
                <w:rtl w:val="0"/>
              </w:rPr>
              <w:t xml:space="preserve">판례 3목록 통합 → IV 주석·VI 위험·VII-4 근거·VIII 판단주체 보강, IX '대표판례' 컬럼 신설, 부록 A(판례 인덱스) 추가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Style w:val="Heading1"/>
        <w:spacing w:after="120" w:before="2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6"/>
          <w:szCs w:val="26"/>
          <w:rtl w:val="0"/>
        </w:rPr>
        <w:t xml:space="preserve">1. IV. 분류체계 — 추가 주석 (신설)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제호(제목·부제)는 저작물성 부정.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표지 제목·부제·필명은 분류 대상에서 제외하고 별도 처리한다. 근거: 96다273, 2023카합21631.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적법 이용(인용·공정이용) 예외.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저작권법 제25조(인용)·제35조의5(공정이용) 해당 이용은 침해로 라벨링하지 않는다. 근거: 2021가합588060.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전시권 제외 근거 확정.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어문저작물 전시권 미적용을 서술 인용에서 판례 인용으로 격상: 2010도4468.</w:t>
      </w:r>
    </w:p>
    <w:p w:rsidR="00000000" w:rsidDel="00000000" w:rsidP="00000000" w:rsidRDefault="00000000" w:rsidRPr="00000000" w14:paraId="00000015">
      <w:pPr>
        <w:pStyle w:val="Heading1"/>
        <w:spacing w:after="120" w:before="2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6"/>
          <w:szCs w:val="26"/>
          <w:rtl w:val="0"/>
        </w:rPr>
        <w:t xml:space="preserve">2. VI. 위험 요인 — 위험 4 신설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위험 4 — 저작인격권의 형사처벌 리스크.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성명표시·동일성유지 등 저작인격권 침해는 형사처벌(제136조) 대상이며 '명예'는 사회적 명예를 의미한다. 상용 트랙(VIII)의 약관·면책·심사 절차를 강화해 대응. 근거: 2020도10180.</w:t>
      </w:r>
    </w:p>
    <w:p w:rsidR="00000000" w:rsidDel="00000000" w:rsidP="00000000" w:rsidRDefault="00000000" w:rsidRPr="00000000" w14:paraId="00000017">
      <w:pPr>
        <w:pStyle w:val="Heading1"/>
        <w:spacing w:after="120" w:before="2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6"/>
          <w:szCs w:val="26"/>
          <w:rtl w:val="0"/>
        </w:rPr>
        <w:t xml:space="preserve">3. VII-4. 오탐 방지 — 판례 근거 추가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기존 3장치(공통표현 사전·엔티티 마스킹·보수적 임계값)에 법리 근거를 명시한다.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사상·주제만의 유사성은 비침해(아이디어/표현 이분법) → 2006나16757.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실용·학술 저작물의 창작성 제한 → 2010다70520.</w:t>
      </w:r>
    </w:p>
    <w:p w:rsidR="00000000" w:rsidDel="00000000" w:rsidP="00000000" w:rsidRDefault="00000000" w:rsidRPr="00000000" w14:paraId="0000001B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0"/>
          <w:szCs w:val="20"/>
          <w:rtl w:val="0"/>
        </w:rPr>
        <w:t xml:space="preserve">→ </w:t>
      </w: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"공통 생애사건은 아이디어 층위로 비침해"를 판례로 방어함으로써, 오탐 억제 로직이 KPI 방어와 법리 방어를 동시에 확보한다.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after="120" w:before="2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6"/>
          <w:szCs w:val="26"/>
          <w:rtl w:val="0"/>
        </w:rPr>
        <w:t xml:space="preserve">4. VIII. 트랙 분리 — 최종 판단 주체 명시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기술적 검출은 후보 추출까지, 최종 침해 판단(의거성 + 실질적 유사성)은 판례 기준의 인간 심사(관리자 콘솔 출간 심사)로 확정한다. 근거: 2012다73493. 이는 원칙 1과 정합한다.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spacing w:after="120" w:before="2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6"/>
          <w:szCs w:val="26"/>
          <w:rtl w:val="0"/>
        </w:rPr>
        <w:t xml:space="preserve">5. IX. 침해 케이스 ↔ 메타태그 매핑 총괄표 — '대표판례' 컬럼 통합본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0"/>
          <w:szCs w:val="20"/>
          <w:rtl w:val="0"/>
        </w:rPr>
        <w:t xml:space="preserve">처리 범례:  </w:t>
      </w: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● 기술검출 근거  /  ○ 약관·신고로 처리(확립 판례 없음 포함)</w:t>
      </w: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2760"/>
        <w:gridCol w:w="4346"/>
        <w:gridCol w:w="1200"/>
        <w:tblGridChange w:id="0">
          <w:tblGrid>
            <w:gridCol w:w="720"/>
            <w:gridCol w:w="2760"/>
            <w:gridCol w:w="4346"/>
            <w:gridCol w:w="12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6b3fa0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6b3fa0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케이스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6b3fa0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대표판례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6b3fa0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처리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f1eef6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1a1a1a"/>
                <w:sz w:val="17"/>
                <w:szCs w:val="17"/>
                <w:rtl w:val="0"/>
              </w:rPr>
              <w:t xml:space="preserve">그룹 A. 저자(가해) — 27건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가사 무단 인용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2012다73493 ↔ 2021가합588060(예외)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소설·수필 발췌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2012다73493 / 2010다70520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신문·기사 전재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2007다354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블로그·SNS 수록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2011가합60365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위키·백과 사용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2012다73493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유명인 자서전 베끼기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2006나16757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서사·구조 차용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2006나16757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친구·가족 회고 옮김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2010도4468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가족 일기·편지 미공표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공표권 법리(2010도4468)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부모 자서전 재수록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2012다73493 + 2011도3599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친구 시·편지 수록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공표권·복제 법리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이메일·업무문서 인용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확립 판례 없음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강연·설교 녹음 옮김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확립 판례 없음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본인 논문 발췌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2016고정432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교과서·교재 수록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2010다70520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외국 도서 번역 수록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2011도3599 + 2007가합43936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인터넷 사진 삽입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2007가합16095 + 2019가단5207564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졸업앨범 단체사진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2007가합16095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신문 스크랩·표지사진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2007가합16095 / 2007다354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캐릭터·로고 삽입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어문 밖(상표)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오디오북 상업 음원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2006가합8583(참고)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단톡방 캡처 수록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확립 판례 없음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고인 유작·일기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2013나2004096 + 2012다204587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AI memorization 반환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확립 판례 없음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AI 우연 유사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2012다73493(의거성 부재)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AI 결과 본인 저작인 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2019가단31377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대필 단독 명의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계약·성명표시(판례 약함)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f1eef6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1a1a1a"/>
                <w:sz w:val="17"/>
                <w:szCs w:val="17"/>
                <w:rtl w:val="0"/>
              </w:rPr>
              <w:t xml:space="preserve">그룹 B. 저자(피해) — 4건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B1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내 자서전 베낌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2012다73493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B2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서사·구조 차용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2006나16757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B3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외부 무단 게재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2008다53812 + 2017도19025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B4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AI 학습 무단 수집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확립 판례 없음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f1eef6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1a1a1a"/>
                <w:sz w:val="17"/>
                <w:szCs w:val="17"/>
                <w:rtl w:val="0"/>
              </w:rPr>
              <w:t xml:space="preserve">그룹 C. 플랫폼 — 3건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C1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편집자 개입(동일성)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2010다79923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유료 폰트 무단 사용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98나23616(참고)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C3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플랫폼 AI 학습 사용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확립 판례 없음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shd w:fill="f1eef6" w:val="clear"/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1a1a1a"/>
                <w:sz w:val="17"/>
                <w:szCs w:val="17"/>
                <w:rtl w:val="0"/>
              </w:rPr>
              <w:t xml:space="preserve">그룹 D·E·X — 5건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D1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2차창작 무단 변형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2021가합25193 + 2011도3599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6b3fa0"/>
                <w:sz w:val="17"/>
                <w:szCs w:val="17"/>
                <w:rtl w:val="0"/>
              </w:rPr>
              <w:t xml:space="preserve">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E1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유족 사후 수정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2010다79923 / 2012다204587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E2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사후 미공표 일기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2013나2004096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X1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제3자 사적정보 노출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저작권 밖(개인정보)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X2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제3자 명예훼손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="260" w:lineRule="auto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1a1a1a"/>
                <w:sz w:val="17"/>
                <w:szCs w:val="17"/>
                <w:rtl w:val="0"/>
              </w:rPr>
              <w:t xml:space="preserve">2012도13718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0e4" w:space="0" w:sz="4" w:val="single"/>
              <w:left w:color="d8d0e4" w:space="0" w:sz="4" w:val="single"/>
              <w:bottom w:color="d8d0e4" w:space="0" w:sz="4" w:val="single"/>
              <w:right w:color="d8d0e4" w:space="0" w:sz="4" w:val="single"/>
            </w:tcBorders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="260" w:lineRule="auto"/>
              <w:jc w:val="center"/>
              <w:rPr/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888888"/>
                <w:sz w:val="17"/>
                <w:szCs w:val="17"/>
                <w:rtl w:val="0"/>
              </w:rPr>
              <w:t xml:space="preserve">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spacing w:after="120" w:before="12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0"/>
          <w:szCs w:val="20"/>
          <w:rtl w:val="0"/>
        </w:rPr>
        <w:t xml:space="preserve">통계  </w:t>
      </w: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기술검출 근거(●) 16건 / 약관·신고(○) 22건 → v1.2 VIII장 "검출 가능 7~8건" 진단과 정합. 트랙 분리를 판례로 재확인한다.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1"/>
        <w:spacing w:after="120" w:before="2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6"/>
          <w:szCs w:val="26"/>
          <w:rtl w:val="0"/>
        </w:rPr>
        <w:t xml:space="preserve">6. 부록 A. 판례 인덱스 (신설)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color w:val="1a1a1a"/>
          <w:sz w:val="19"/>
          <w:szCs w:val="19"/>
          <w:rtl w:val="0"/>
        </w:rPr>
        <w:t xml:space="preserve">정식 인용 시 대법원 판결 우선, 가처분·하급심은 보조. 전거는 제공 3목록에서 선별.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실질유사성·의거성: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2012다73493, 2006나16757, 2010다70520, 2017다212095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2차적저작물(번역·요약):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2011도3599, 2007가합43936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성명표시·전시·공표: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2010도4468, 2021가합25193, 2019가단31377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동일성유지·출판계약: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2010다79923, 2011다101148, 2012다109798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제호: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96다273, 2023카합21631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인용·공정이용: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2021가합588060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사진·이미지: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2007가합16095, 2019가단5207564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사자·유족: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2013나2004096, 2012다204587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명예훼손·무단수록: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2011가합60365, 2012도13718, 2007다354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플랫폼 책임(OSP):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2017도19025, 2008카합968, 2008다53812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형사·친고죄: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2020도10180, 2016고정432</w:t>
      </w:r>
    </w:p>
    <w:p w:rsidR="00000000" w:rsidDel="00000000" w:rsidP="00000000" w:rsidRDefault="00000000" w:rsidRPr="00000000" w14:paraId="000000DE">
      <w:pPr>
        <w:pStyle w:val="Heading1"/>
        <w:spacing w:after="120" w:before="26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6"/>
          <w:szCs w:val="26"/>
          <w:rtl w:val="0"/>
        </w:rPr>
        <w:t xml:space="preserve">7. 출처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2"/>
        <w:spacing w:after="100" w:before="20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2"/>
          <w:szCs w:val="22"/>
          <w:rtl w:val="0"/>
        </w:rPr>
        <w:t xml:space="preserve">제공 자료 (프로젝트 / 업로드 · 내부 파일)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나누구 저작권침해 아카이빙 실무방안 v1.2, 1단계 보고서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판례 3목록: 저작권_명예훼손_판례목록.xlsx, 저작인격권_판례목록.xlsx, 어문저작물_침해_판례목록202505.xlsx</w:t>
      </w:r>
    </w:p>
    <w:p w:rsidR="00000000" w:rsidDel="00000000" w:rsidP="00000000" w:rsidRDefault="00000000" w:rsidRPr="00000000" w14:paraId="000000E2">
      <w:pPr>
        <w:pStyle w:val="Heading2"/>
        <w:spacing w:after="100" w:before="20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1a1a1a"/>
          <w:sz w:val="22"/>
          <w:szCs w:val="22"/>
          <w:rtl w:val="0"/>
        </w:rPr>
        <w:t xml:space="preserve">외부 자료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판례 원문 검색(대법원 종합법률정보) — 사건번호로 상세검색: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6b3fa0"/>
          <w:sz w:val="20"/>
          <w:szCs w:val="20"/>
          <w:u w:val="none"/>
          <w:shd w:fill="auto" w:val="clear"/>
          <w:vertAlign w:val="baseline"/>
          <w:rtl w:val="0"/>
        </w:rPr>
        <w:t xml:space="preserve">https://glaw.scourt.go.kr/wsjo/panre/sjo050.do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저작권법 조문(국가법령정보센터):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6b3fa0"/>
          <w:sz w:val="20"/>
          <w:szCs w:val="20"/>
          <w:u w:val="none"/>
          <w:shd w:fill="auto" w:val="clear"/>
          <w:vertAlign w:val="baseline"/>
          <w:rtl w:val="0"/>
        </w:rPr>
        <w:t xml:space="preserve">https://www.law.go.kr/lsEfInfoP.do?lsiSeq=148848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한국저작권위원회(상담사례집·표절 실무유형):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6b3fa0"/>
          <w:sz w:val="20"/>
          <w:szCs w:val="20"/>
          <w:u w:val="none"/>
          <w:shd w:fill="auto" w:val="clear"/>
          <w:vertAlign w:val="baseline"/>
          <w:rtl w:val="0"/>
        </w:rPr>
        <w:t xml:space="preserve">https://www.copyright.or.kr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top w:color="d8d0e4" w:space="0" w:sz="8" w:val="single"/>
        </w:pBdr>
        <w:spacing w:after="80" w:before="220" w:lineRule="auto"/>
        <w:rPr/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6b3fa0"/>
          <w:sz w:val="22"/>
          <w:szCs w:val="22"/>
          <w:rtl w:val="0"/>
        </w:rPr>
        <w:t xml:space="preserve">안전 종료 관점 요약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120" w:before="0" w:line="276" w:lineRule="auto"/>
        <w:rPr/>
      </w:pPr>
      <w:r w:rsidDel="00000000" w:rsidR="00000000" w:rsidRPr="00000000">
        <w:rPr>
          <w:rFonts w:ascii="Malgun Gothic" w:cs="Malgun Gothic" w:eastAsia="Malgun Gothic" w:hAnsi="Malgun Gothic"/>
          <w:color w:val="1a1a1a"/>
          <w:sz w:val="20"/>
          <w:szCs w:val="20"/>
          <w:rtl w:val="0"/>
        </w:rPr>
        <w:t xml:space="preserve">이 개정으로 아카이빙(정성 산출물)이 판례 실증 근거를 갖춰 평가 방어력이 상승한다. 반대로 판례가 검출 대상을 넓히는 방향으로 쓰이면 원칙 1 위반이 되므로 근거로만 사용한다. 남은 확정 작업은 (1) IX장 정량 목표(케이스 수·필드 수)를 3.8만 자 규모와 연결, (2) 부록 A를 1Q 합동회의에서 동결하는 것이다.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color w:val="1a1a1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1a1a1a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